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E77B" w14:textId="77777777" w:rsidR="00696895" w:rsidRPr="00696895" w:rsidRDefault="00696895" w:rsidP="00696895">
      <w:pP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69689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关于</w:t>
      </w:r>
      <w:r w:rsidRPr="00696895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  <w:t>2023年度上海市人民政府决策咨询研究重大课题公开招标的通知</w:t>
      </w:r>
    </w:p>
    <w:p w14:paraId="3AA3BEAE" w14:textId="22657E6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经市政府批准，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2023年度上海市人民政府决策咨询研究重大课题33项，现面向社会公开招标。具体事项通知如下：</w:t>
      </w:r>
    </w:p>
    <w:p w14:paraId="6E28D78C" w14:textId="2AAF643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一、招标课题目录</w:t>
      </w:r>
    </w:p>
    <w:p w14:paraId="0FF3AFDF" w14:textId="25A4D5F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1. 上海先行探索中国式现代化的路径和规律研究</w:t>
      </w:r>
    </w:p>
    <w:p w14:paraId="55685CB9" w14:textId="3FB251B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2. 上海统筹强化科技、教育、人才相互贯通协同研究</w:t>
      </w:r>
    </w:p>
    <w:p w14:paraId="40F27912" w14:textId="36F55DD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3. 上海实施自贸区临港新片区升级转型战略的方法和路径研究</w:t>
      </w:r>
    </w:p>
    <w:p w14:paraId="0611657E" w14:textId="7E1D560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4. 上海全面推动内外贸一体化研究</w:t>
      </w:r>
    </w:p>
    <w:p w14:paraId="1D70A535" w14:textId="4679ED03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5. 上海应对国际贸易和投资规则规制变化的策略研究</w:t>
      </w:r>
    </w:p>
    <w:p w14:paraId="65D286A1" w14:textId="4E8654D8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6. 上海大力发展数字贸易的重点领域和突破口研究</w:t>
      </w:r>
    </w:p>
    <w:p w14:paraId="4E30CC70" w14:textId="1271CA9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7. 发挥在沪外资企业“在上海、为全球”作用研究</w:t>
      </w:r>
    </w:p>
    <w:p w14:paraId="79223B1E" w14:textId="3276FBAC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8. 上海激发民营企业创新活力研究</w:t>
      </w:r>
    </w:p>
    <w:p w14:paraId="6F8A0F0E" w14:textId="19A1BB0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9. 上海全要素生产率提升与产业结构、就业结构匹配研究</w:t>
      </w:r>
    </w:p>
    <w:p w14:paraId="5C757F37" w14:textId="6C9077DE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10. 以科研范式变革强化全过程创新机制研究</w:t>
      </w:r>
    </w:p>
    <w:p w14:paraId="2D686343" w14:textId="7D5383AB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11. 浦东发挥科创主力军作用激发科创“核爆点”研究</w:t>
      </w:r>
    </w:p>
    <w:p w14:paraId="6A3E486E" w14:textId="07EF396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12. 上海高水平服务业加快发展、提升能级研究</w:t>
      </w:r>
    </w:p>
    <w:p w14:paraId="6E128C8C" w14:textId="7F7AB94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13. 上海打造金融风险管理中心的内涵、目标、路径和举措研究</w:t>
      </w:r>
    </w:p>
    <w:p w14:paraId="10C6B2E5" w14:textId="2222B8D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14. 以“转型金融”为突破口提升上海国际绿色金融枢纽能级研究</w:t>
      </w:r>
    </w:p>
    <w:p w14:paraId="2164061D" w14:textId="291A57F1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15. 上海高端航运服务业发展提升的关键问题研究</w:t>
      </w:r>
    </w:p>
    <w:p w14:paraId="05644F94" w14:textId="72AC7CBC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16. 上海生态环境产业技术支撑体系与政策举措研究</w:t>
      </w:r>
    </w:p>
    <w:p w14:paraId="61C3A318" w14:textId="5E3A1D60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17. 上海加强新形势下能源安全保障战略研究</w:t>
      </w:r>
    </w:p>
    <w:p w14:paraId="34B0EE4E" w14:textId="7685C70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lastRenderedPageBreak/>
        <w:t>18. 上海统筹贯通事前审批和事中事后监管研究</w:t>
      </w:r>
    </w:p>
    <w:p w14:paraId="275CD88F" w14:textId="05328CD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19. 上海率先实现农业现代化的路径和对策研究</w:t>
      </w:r>
    </w:p>
    <w:p w14:paraId="2339CE1A" w14:textId="7F51569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20. 上海低碳制度设计及与国际低碳制度衔接研究</w:t>
      </w:r>
    </w:p>
    <w:p w14:paraId="70DDE745" w14:textId="6E73B3D2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21. 上海“两旧一村”城市更新机制创新与推进对策研究</w:t>
      </w:r>
    </w:p>
    <w:p w14:paraId="3407A567" w14:textId="67C67EE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22. 上海加强应急领域共建共治共享能力研究</w:t>
      </w:r>
    </w:p>
    <w:p w14:paraId="3D1994C9" w14:textId="44FED78E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23. 以市场化机制激发长三角一体化发展的内生动力研究</w:t>
      </w:r>
    </w:p>
    <w:p w14:paraId="1EF39820" w14:textId="7FA03D8C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24. 上海促进高质量充分就业的机制与路径研究</w:t>
      </w:r>
    </w:p>
    <w:p w14:paraId="199A25C3" w14:textId="4166115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25. 上海推动职业教育类型化发展研究</w:t>
      </w:r>
    </w:p>
    <w:p w14:paraId="3585ABA9" w14:textId="03B3ABE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26. 上海都市型文旅产业高质量融合发展研究</w:t>
      </w:r>
    </w:p>
    <w:p w14:paraId="6C50316A" w14:textId="1ED624A5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27. 上海全面提升为老服务水平的思路和举措研究</w:t>
      </w:r>
    </w:p>
    <w:p w14:paraId="0BEE2F86" w14:textId="1848871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28. 上海创新医防协同与医防融合机制研究</w:t>
      </w:r>
    </w:p>
    <w:p w14:paraId="1B97FCC0" w14:textId="31742DB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29. 上海完善基层医疗卫生服务功能研究</w:t>
      </w:r>
    </w:p>
    <w:p w14:paraId="042FB73D" w14:textId="510A9893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30. 上海都市体育发展体系建设研究</w:t>
      </w:r>
    </w:p>
    <w:p w14:paraId="3BEC3042" w14:textId="1E8C2A1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31. 上海推进“五个新城”与乡村振兴有效衔接的路径和对策研究</w:t>
      </w:r>
    </w:p>
    <w:p w14:paraId="0F02553B" w14:textId="0237F41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32. 上海国资投资运营平台深化改革研究</w:t>
      </w:r>
    </w:p>
    <w:p w14:paraId="678C66D0" w14:textId="7777777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33. 上海促进数据要素流通研究</w:t>
      </w:r>
    </w:p>
    <w:p w14:paraId="1051241D" w14:textId="7777777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</w:p>
    <w:p w14:paraId="0CFF115E" w14:textId="379C35F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二、招标对象</w:t>
      </w:r>
    </w:p>
    <w:p w14:paraId="1FCF3213" w14:textId="7ECEA76F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本次招标面向全国高等院校、科研机构、社会团体、企业等单位或个人（个人申报须有课题依托管理单位）。</w:t>
      </w:r>
    </w:p>
    <w:p w14:paraId="0317FFC1" w14:textId="58FA3D5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申请人须具有较高的政治素质，熟悉决策咨询研究工作，并具有与所申报课题相关的研究基础。</w:t>
      </w:r>
    </w:p>
    <w:p w14:paraId="0A220D20" w14:textId="131021B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lastRenderedPageBreak/>
        <w:t>三、申报方式及程序</w:t>
      </w:r>
    </w:p>
    <w:p w14:paraId="52A405C0" w14:textId="5E52DC6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1．申报方式：</w:t>
      </w:r>
      <w:r>
        <w:rPr>
          <w:rFonts w:ascii="Microsoft YaHei UI" w:eastAsia="Microsoft YaHei UI" w:hAnsi="Microsoft YaHei UI" w:hint="eastAsia"/>
          <w:color w:val="333333"/>
          <w:spacing w:val="8"/>
        </w:rPr>
        <w:t>采用</w:t>
      </w:r>
      <w:r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网上申报方式</w:t>
      </w:r>
      <w:r>
        <w:rPr>
          <w:rFonts w:ascii="Microsoft YaHei UI" w:eastAsia="Microsoft YaHei UI" w:hAnsi="Microsoft YaHei UI" w:hint="eastAsia"/>
          <w:color w:val="333333"/>
          <w:spacing w:val="8"/>
        </w:rPr>
        <w:t>，无需提交纸质材料。申请人通过登录</w:t>
      </w:r>
      <w:r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上海市人民政府发展研究中心网站（http://www.fzzx.sh.gov.cn）——“项目申报”栏目——“决策咨询研究项目管理平台”</w:t>
      </w:r>
      <w:r>
        <w:rPr>
          <w:rFonts w:ascii="Microsoft YaHei UI" w:eastAsia="Microsoft YaHei UI" w:hAnsi="Microsoft YaHei UI" w:hint="eastAsia"/>
          <w:color w:val="333333"/>
          <w:spacing w:val="8"/>
        </w:rPr>
        <w:t>进行申报（</w:t>
      </w:r>
      <w:r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“申请单位”填写“上海交通大学”</w:t>
      </w:r>
      <w:r>
        <w:rPr>
          <w:rFonts w:ascii="Microsoft YaHei UI" w:eastAsia="Microsoft YaHei UI" w:hAnsi="Microsoft YaHei UI" w:hint="eastAsia"/>
          <w:color w:val="333333"/>
          <w:spacing w:val="8"/>
        </w:rPr>
        <w:t>）。</w:t>
      </w:r>
    </w:p>
    <w:p w14:paraId="5B1BD09F" w14:textId="0F26E699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2. 申报步骤：</w:t>
      </w:r>
      <w:r w:rsidRPr="00694659">
        <w:rPr>
          <w:rFonts w:ascii="Microsoft YaHei UI" w:eastAsia="Microsoft YaHei UI" w:hAnsi="Microsoft YaHei UI" w:hint="eastAsia"/>
          <w:color w:val="333333"/>
          <w:spacing w:val="8"/>
        </w:rPr>
        <w:t>（</w:t>
      </w:r>
      <w:r w:rsidRPr="00694659">
        <w:rPr>
          <w:rFonts w:ascii="Microsoft YaHei UI" w:eastAsia="Microsoft YaHei UI" w:hAnsi="Microsoft YaHei UI"/>
          <w:color w:val="333333"/>
          <w:spacing w:val="8"/>
        </w:rPr>
        <w:t>1）申请人所在单位进行注册（单位注册需使用“法人一证通”进行校验）；（2）申请人采用网上申报方式，无需提交纸质材料。申请人通过登录上海市人民政府发展研究中心网站（http://www.fzzx.sh.gov.cn）——“项目申报”栏目——“决策咨询研究项目管理平台”进行申报。；（3）申请人填写提交申报材料；（4）申请人所在单位完成网上审核。</w:t>
      </w:r>
    </w:p>
    <w:p w14:paraId="2E902052" w14:textId="626924F1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3．课题指南获取：登录上海市人民政府发展研究中心网站查阅《2023年度上海市人民政府决策咨询研究重大课题指南》。</w:t>
      </w:r>
    </w:p>
    <w:p w14:paraId="028FE834" w14:textId="76BB1594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4．申报数量限制：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同一申请人，申报课题数量不超过两项。</w:t>
      </w:r>
    </w:p>
    <w:p w14:paraId="5432A515" w14:textId="0237BB6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5．在线填写要求：申请人应仔细阅读课题指南和填表说明；申报材料应简明扼要，突出重点和关键，其中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《课题研究大纲》部分不得出现课题申请人及成员的姓名和单位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，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字数不超过3000字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，图表不超过规定尺寸。</w:t>
      </w:r>
    </w:p>
    <w:p w14:paraId="6BE10BCE" w14:textId="0D0AA7FB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6．网上申报受理日期：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2023年3月15日至4月6日</w:t>
      </w: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1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6</w:t>
      </w: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：0</w:t>
      </w:r>
      <w:r w:rsidRPr="00696895">
        <w:rPr>
          <w:rFonts w:ascii="Microsoft YaHei UI" w:eastAsia="Microsoft YaHei UI" w:hAnsi="Microsoft YaHei UI"/>
          <w:b/>
          <w:bCs/>
          <w:color w:val="333333"/>
          <w:spacing w:val="8"/>
        </w:rPr>
        <w:t>0</w:t>
      </w: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截止。</w:t>
      </w:r>
    </w:p>
    <w:p w14:paraId="07F4F952" w14:textId="6CDB11D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四、评标程序</w:t>
      </w:r>
    </w:p>
    <w:p w14:paraId="0C46FC79" w14:textId="2B482DC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1．申报受理后，由招标单位组织评审。</w:t>
      </w:r>
    </w:p>
    <w:p w14:paraId="176C1FDF" w14:textId="0B11595B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2．中标结果将于2023年4月下旬在中国上海门户网站（www.sh.gov.cn）和上海市人民政府发展研究中心网站公布。</w:t>
      </w:r>
    </w:p>
    <w:p w14:paraId="2D12D374" w14:textId="339DA9AA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lastRenderedPageBreak/>
        <w:t>五、时间进度及成果要求</w:t>
      </w:r>
    </w:p>
    <w:p w14:paraId="23D59E87" w14:textId="42829BA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1. 研究期限为2023年4月至9月。</w:t>
      </w:r>
    </w:p>
    <w:p w14:paraId="170EBE5B" w14:textId="279B092D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/>
          <w:color w:val="333333"/>
          <w:spacing w:val="8"/>
        </w:rPr>
        <w:t>2. 提交研究成果包括：研究报告（含摘要）和专报。</w:t>
      </w:r>
    </w:p>
    <w:p w14:paraId="1F7FF535" w14:textId="01BBC836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六、经费资助</w:t>
      </w:r>
    </w:p>
    <w:p w14:paraId="7FE2EDE7" w14:textId="1BFC7053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color w:val="333333"/>
          <w:spacing w:val="8"/>
        </w:rPr>
        <w:t>每项资助人民币</w:t>
      </w:r>
      <w:r w:rsidRPr="00696895">
        <w:rPr>
          <w:rFonts w:ascii="Microsoft YaHei UI" w:eastAsia="Microsoft YaHei UI" w:hAnsi="Microsoft YaHei UI"/>
          <w:color w:val="333333"/>
          <w:spacing w:val="8"/>
        </w:rPr>
        <w:t>8至12万元。</w:t>
      </w:r>
    </w:p>
    <w:p w14:paraId="3FCDC62E" w14:textId="77777777" w:rsidR="00696895" w:rsidRPr="00696895" w:rsidRDefault="00696895" w:rsidP="00696895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Microsoft YaHei UI" w:eastAsia="Microsoft YaHei UI" w:hAnsi="Microsoft YaHei UI"/>
          <w:b/>
          <w:bCs/>
          <w:color w:val="333333"/>
          <w:spacing w:val="8"/>
        </w:rPr>
      </w:pPr>
      <w:r w:rsidRPr="00696895">
        <w:rPr>
          <w:rFonts w:ascii="Microsoft YaHei UI" w:eastAsia="Microsoft YaHei UI" w:hAnsi="Microsoft YaHei UI" w:hint="eastAsia"/>
          <w:b/>
          <w:bCs/>
          <w:color w:val="333333"/>
          <w:spacing w:val="8"/>
        </w:rPr>
        <w:t>七、联系方式</w:t>
      </w:r>
    </w:p>
    <w:p w14:paraId="6A884492" w14:textId="77777777" w:rsidR="00696895" w:rsidRPr="004421E3" w:rsidRDefault="00696895" w:rsidP="00696895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联系人：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王逸腾</w:t>
      </w:r>
    </w:p>
    <w:p w14:paraId="08BB7F4B" w14:textId="3B1EF0E8" w:rsidR="00696895" w:rsidRPr="004421E3" w:rsidRDefault="00696895" w:rsidP="00696895">
      <w:pPr>
        <w:ind w:firstLineChars="200" w:firstLine="512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电话：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  <w:t>34205041</w:t>
      </w:r>
    </w:p>
    <w:p w14:paraId="4262D18E" w14:textId="05B813D2" w:rsidR="00F14814" w:rsidRPr="00696895" w:rsidRDefault="00696895" w:rsidP="00696895">
      <w:pPr>
        <w:ind w:firstLineChars="200" w:firstLine="512"/>
      </w:pP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邮箱：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jdzk</w:t>
      </w:r>
      <w:r w:rsidRPr="004421E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  <w:t>@sjtu.edu.cn</w:t>
      </w:r>
    </w:p>
    <w:sectPr w:rsidR="00F14814" w:rsidRPr="00696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4169" w14:textId="77777777" w:rsidR="0024619B" w:rsidRDefault="0024619B" w:rsidP="00696895">
      <w:r>
        <w:separator/>
      </w:r>
    </w:p>
  </w:endnote>
  <w:endnote w:type="continuationSeparator" w:id="0">
    <w:p w14:paraId="024F7AC5" w14:textId="77777777" w:rsidR="0024619B" w:rsidRDefault="0024619B" w:rsidP="006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DC65" w14:textId="77777777" w:rsidR="0024619B" w:rsidRDefault="0024619B" w:rsidP="00696895">
      <w:r>
        <w:separator/>
      </w:r>
    </w:p>
  </w:footnote>
  <w:footnote w:type="continuationSeparator" w:id="0">
    <w:p w14:paraId="527393F7" w14:textId="77777777" w:rsidR="0024619B" w:rsidRDefault="0024619B" w:rsidP="0069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B"/>
    <w:rsid w:val="000D098B"/>
    <w:rsid w:val="0024619B"/>
    <w:rsid w:val="00696895"/>
    <w:rsid w:val="00D02CD0"/>
    <w:rsid w:val="00F14814"/>
    <w:rsid w:val="00F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712D"/>
  <w15:chartTrackingRefBased/>
  <w15:docId w15:val="{9FA05CEE-BED0-437B-9E8C-83BD1B1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8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895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6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Yiteng</dc:creator>
  <cp:keywords/>
  <dc:description/>
  <cp:lastModifiedBy>Wang Yiteng</cp:lastModifiedBy>
  <cp:revision>3</cp:revision>
  <dcterms:created xsi:type="dcterms:W3CDTF">2023-03-15T07:20:00Z</dcterms:created>
  <dcterms:modified xsi:type="dcterms:W3CDTF">2023-03-15T08:24:00Z</dcterms:modified>
</cp:coreProperties>
</file>